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 SächsBG (Sachsen) — Aussagegenehmigung</w:t>
      </w:r>
    </w:p>
    <w:p>
      <w:r>
        <w:rPr>
          <w:color w:val="555555"/>
          <w:sz w:val="18"/>
        </w:rPr>
        <w:t xml:space="preserve">Sächsisches Beamtengesetz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Aussagegenehmigung nach § 37 Absatz 3 Satz 1 des Beamtenstatusgesetzes erteilt die oder der Dienstvorgesetzte oder, wenn das Beamtenverhältnis beendet ist, die oder der letzte Dienstvorgesetzte; ist die oder der letzte Dienstvorgesetzte weggefallen, wird die Genehmigung vom Staatsministerium des Innern erteilt.</w:t>
      </w:r>
    </w:p>
    <w:p>
      <w:r>
        <w:rPr>
          <w:color w:val="555555"/>
          <w:sz w:val="17"/>
        </w:rPr>
        <w:t xml:space="preserve">Zitiervorschlag: § 68 SächsBG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https://recht.nulegal.eu/gesetze/S%C3%A4chsBG/68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 SächsBG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