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SächsBAföGZuVO (Sachsen)</w:t>
      </w:r>
    </w:p>
    <w:p>
      <w:r>
        <w:rPr>
          <w:color w:val="555555"/>
          <w:sz w:val="18"/>
        </w:rPr>
        <w:t xml:space="preserve">Sächsische BAföG-Zuständigkeitsverordnung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 Absatz 3 des Sächsischen Ausführungsgesetzes zum Bundesausbildungsförderungsgesetz vom 7. Januar 1993 (SächsGVBl. S. 16), der durch Artikel 3 des Gesetzes vom 31. Mai 2023 (SächsGVBl. S. 329) geändert worden ist, verordnet das Staatsministerium für Wissenschaft, Kultur und Tourismus:</w:t>
      </w:r>
    </w:p>
    <w:p>
      <w:r>
        <w:rPr>
          <w:color w:val="555555"/>
          <w:sz w:val="17"/>
        </w:rPr>
        <w:t xml:space="preserve">Zitiervorschlag: Eingangsformel SächsBAföGZuVO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https://recht.nulegal.eu/gesetze/S%C3%A4chsBAf%C3%B6GZuVO/eingangsformel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SächsBAföGZuVO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