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SächsBAG (Sachsen) — Verfahren und Rechtswirkung der staatlichen Anerkennung</w:t>
      </w:r>
    </w:p>
    <w:p>
      <w:r>
        <w:rPr>
          <w:color w:val="555555"/>
          <w:sz w:val="18"/>
        </w:rPr>
        <w:t xml:space="preserve">Sächsisches Berufsakademiegesetz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Anerkennungsbescheid regelt insbesondere</w:t>
      </w:r>
    </w:p>
    <w:p>
      <w:r>
        <w:t xml:space="preserve">1. die Bezeichnung der Berufsakademie, die einen Hinweis auf die nichtstaatliche Trägerschaft enthalten muss, beispielsweise durch Nennung der Rechtsform des Trägers,</w:t>
      </w:r>
    </w:p>
    <w:p>
      <w:r>
        <w:t xml:space="preserve">2. den Sitz und den Träger der Berufsakademie,</w:t>
      </w:r>
    </w:p>
    <w:p>
      <w:r>
        <w:t xml:space="preserve">3. die Studiengänge, auf die sich die Anerkennung erstreckt und</w:t>
      </w:r>
    </w:p>
    <w:p>
      <w:r>
        <w:t xml:space="preserve">4. die staatlichen Abschlussbezeichnungen, die verliehen werden dürfen.</w:t>
      </w:r>
    </w:p>
    <w:p>
      <w:r>
        <w:t xml:space="preserve">(2) Wesentliche Änderungen des Aufbaus oder Betriebs einer Berufsakademie, insbesondere die Erweiterung oder Änderung des Studienangebots, erfordern eine Anpassung der staatlichen Anerkennung.</w:t>
      </w:r>
    </w:p>
    <w:p>
      <w:r>
        <w:rPr>
          <w:color w:val="555555"/>
          <w:sz w:val="17"/>
        </w:rPr>
        <w:t xml:space="preserve">Zitiervorschlag: § 4 SächsBAG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https://recht.nulegal.eu/gesetze/S%C3%A4chsBAG/4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