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SächsAusglAbgVO (Sachsen)</w:t>
      </w:r>
    </w:p>
    <w:p>
      <w:r>
        <w:rPr>
          <w:color w:val="555555"/>
          <w:sz w:val="18"/>
        </w:rPr>
        <w:t xml:space="preserve">Sächsische Ausgleichsabgabeverordnung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erlassen als Artikel 1 der Verordnung zur Neuregelung gemeindewirtschaftsrechtlicher Bestimmungen</w:t>
      </w:r>
    </w:p>
    <w:p>
      <w:r>
        <w:t xml:space="preserve">Vom 28. September 2017</w:t>
      </w:r>
    </w:p>
    <w:p>
      <w:r>
        <w:rPr>
          <w:color w:val="555555"/>
          <w:sz w:val="17"/>
        </w:rPr>
        <w:t xml:space="preserve">Zitiervorschlag: Eingangsformel SächsAusglAbgVO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https://recht.nulegal.eu/gesetze/S%C3%A4chsAusglAbgVO/eingangsformel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