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SächsAusglAbgVO (Sachsen) — Verwendung</w:t>
      </w:r>
    </w:p>
    <w:p>
      <w:r>
        <w:rPr>
          <w:color w:val="555555"/>
          <w:sz w:val="18"/>
        </w:rPr>
        <w:t xml:space="preserve">Sächsische Ausgleichsabgabeverordnung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Rücklage gemäß § 1 darf nur zur Deckung von Aufwendungen gemäß § 77 des Neunten Buches Sozialgesetzbuch zur Teilhabe schwerbehinderter Menschen am Arbeitsleben einschließlich begleitender Hilfen im Arbeitsleben verwendet werden.</w:t>
      </w:r>
    </w:p>
    <w:p>
      <w:r>
        <w:rPr>
          <w:color w:val="555555"/>
          <w:sz w:val="17"/>
        </w:rPr>
        <w:t xml:space="preserve">Zitiervorschlag: § 2 SächsAusglAbgVO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https://recht.nulegal.eu/gesetze/S%C3%A4chsAusglAbgVO/2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