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SächsAusglAbgVO (Sachsen) — Rücklagenbildung</w:t>
      </w:r>
    </w:p>
    <w:p>
      <w:r>
        <w:rPr>
          <w:color w:val="555555"/>
          <w:sz w:val="18"/>
        </w:rPr>
        <w:t xml:space="preserve">Sächsische Ausgleichsabgabeverordnung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in der Eröffnungsbilanz zum 1. Januar 2010 ausgewiesenen Mittel der Ausgleichsabgabe gemäß § 77 des Neunten Buches Sozialgesetzbuch – Rehabilitation und Teilhabe behinderter Menschen – (Artikel 1 des Gesetzes vom 19. Juni 2001, BGBl. I S. 1046, 1047), das zuletzt durch Artikel 165 des Gesetzes vom 29. März 2017 (BGBl. I S. 626) geändert worden ist, in der jeweils geltenden Fassung, ist eine zweckgebundene oder sonstige Rücklage gemäß § 51 Absatz 3 Nummer 1 Buchstabe b Doppelbuchstabe dd der Sächsischen Kommunalhaushaltsverordnung-Doppik vom 10. Dezember 2013 (SächsGVBl. S. 910), in der jeweils geltenden Fassung, zu bilden, soweit hierfür nicht Verbindlichkeiten, Rückstellungen oder passive Rechnungsabgrenzungsposten zu bilanzieren sind.</w:t>
      </w:r>
    </w:p>
    <w:p>
      <w:r>
        <w:rPr>
          <w:color w:val="555555"/>
          <w:sz w:val="17"/>
        </w:rPr>
        <w:t xml:space="preserve">Zitiervorschlag: § 1 SächsAusglAbgVO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https://recht.nulegal.eu/gesetze/S%C3%A4chsAusglAbgVO/1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SächsAusglAbgVO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