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SächsArchivG (Sachsen) — Verwaltung und Sicherung des Archivgutes</w:t>
      </w:r>
    </w:p>
    <w:p>
      <w:r>
        <w:rPr>
          <w:color w:val="555555"/>
          <w:sz w:val="18"/>
        </w:rPr>
        <w:t xml:space="preserve">Archivgesetz für den Freistaat Sachsen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Sächsische Staatsarchiv hat das Verfügungsrecht über das Archivgut und ist verpflichtet, das Archivgut nach archivwissenschaftlichen Erkenntnissen zu bearbeiten und einer ordnungsgemäßen Benutzung zugänglich zu machen.</w:t>
      </w:r>
    </w:p>
    <w:p>
      <w:r>
        <w:t xml:space="preserve">(2) Durch die Feststellung der Archivwürdigkeit und die Übernahme der Unterlagen gemäß § 5 Abs. 7 erfolgt ihre Widmung zu öffentlichem Archivgut. Die Widmung begründet eine hoheitliche Sachherrschaft, die durch bürgerlich-rechtliche Verfügungen nicht berührt wird. Das Sächsische Staatsarchiv kann von dem Besitzer die Herausgabe des öffentlichen Archivgutes verlangen.</w:t>
      </w:r>
    </w:p>
    <w:p>
      <w:r>
        <w:t xml:space="preserve">(3) Das Archivgut ist in seiner Entstehungsform zu erhalten, soweit nicht archivfachliche Belange entgegenstehen. Es ist nachhaltig vor Schäden, Verlust, Vernichtung oder unbefugter Nutzung zu schützen.</w:t>
      </w:r>
    </w:p>
    <w:p>
      <w:r>
        <w:t xml:space="preserve">(4) Archivgut ist ein Bestandteil des Landeskulturgutes; seine Veräußerung ist verboten.</w:t>
      </w:r>
    </w:p>
    <w:p>
      <w:r>
        <w:rPr>
          <w:color w:val="555555"/>
          <w:sz w:val="17"/>
        </w:rPr>
        <w:t xml:space="preserve">Zitiervorschlag: § 8 SächsArchivG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https://recht.nulegal.eu/gesetze/S%C3%A4chsArchivG/8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