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SächsArchivG (Sachsen) — Rechtsansprüche betroffener Personen</w:t>
      </w:r>
    </w:p>
    <w:p>
      <w:r>
        <w:rPr>
          <w:color w:val="555555"/>
          <w:sz w:val="18"/>
        </w:rPr>
        <w:t xml:space="preserve">Archivgesetz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Rechtsansprüche betroffener Personen gemäß Artikel 15 der Verordnung (EU) 2016/679 beschränken sich auf eine Auskunft über die im Archivgut zu ihrer Person enthaltenen Daten, wenn das Archivgut durch Namen der Personen erschlossen ist. Die Auskunft kann auch in Form der Einsicht in das Archivgut oder durch Aushändigung einer Kopie gewährt werden.</w:t>
      </w:r>
    </w:p>
    <w:p>
      <w:r>
        <w:t xml:space="preserve">(2) Wird die Richtigkeit personenbezogener Daten von der betroffenen Person bestritten, hat sie das Recht zu verlangen, dass dem Archivgut ihre Gegendarstellung beigefügt wird, wenn die betroffene Person ein berechtigtes Interesse daran glaubhaft macht. Nach ihrem Tod steht dieses Recht den Angehörigen nach § 10 Absatz 4 Satz 2 zu. Weitergehende Rechte auf Berichtigung gemäß Artikel 16 der Verordnung (EU) 2016/679, auf Löschung gemäß Artikel 17 der Verordnung (EU) 2016/679 und auf Einschränkung der Verarbeitung gemäß Artikel 18 der Verordnung (EU) 2016/679 bestehen nicht. Eine Mitteilungspflicht des Sächsischen Staatsarchivs gemäß Artikel 19 der Verordnung (EU) 2016/679 besteht nicht.</w:t>
      </w:r>
    </w:p>
    <w:p>
      <w:r>
        <w:t xml:space="preserve">(3) Ein Recht auf Datenübertragbarkeit gemäß Artikel 20 der Verordnung (EU) 2016/679 und ein Widerspruchsrecht betroffener Personen gegen die Archivierung sie betreffender Daten gemäß Artikel 21 Absatz 1 der Verordnung (EU) 2016/679 bestehen nicht.</w:t>
      </w:r>
    </w:p>
    <w:p>
      <w:r>
        <w:rPr>
          <w:color w:val="555555"/>
          <w:sz w:val="17"/>
        </w:rPr>
        <w:t xml:space="preserve">Zitiervorschlag: § 6 SächsArchivG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https://recht.nulegal.eu/gesetze/S%C3%A4chsArchivG/6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SächsArchivG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