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SächsArchivG (Sachsen) — Organisation des staatlichen Archivwesens</w:t>
      </w:r>
    </w:p>
    <w:p>
      <w:r>
        <w:rPr>
          <w:color w:val="555555"/>
          <w:sz w:val="18"/>
        </w:rPr>
        <w:t xml:space="preserve">Archivgesetz für den Freistaat Sachsen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Der Freistaat Sachsen unterhält für die Erfüllung aller staatlichen Archivaufgaben das Sächsische Staatsarchiv.</w:t>
      </w:r>
    </w:p>
    <w:p>
      <w:r>
        <w:t xml:space="preserve">(2) Oberste Aufsichtsbehörde für das staatliche Archivwesen ist das Staatsministerium des Innern.</w:t>
      </w:r>
    </w:p>
    <w:p>
      <w:r>
        <w:t xml:space="preserve">(3) Die oberste Aufsichtsbehörde kann die Erfüllung einzelner Aufgaben des Sächsischen Staatsarchivs durch öffentlich-rechtliche Vereinbarung auf andere Archive öffentlich-rechtlicher Trägerschaft übertragen, wenn dies besonderen historischen Interessen entspricht.</w:t>
      </w:r>
    </w:p>
    <w:p>
      <w:r>
        <w:rPr>
          <w:color w:val="555555"/>
          <w:sz w:val="17"/>
        </w:rPr>
        <w:t xml:space="preserve">Zitiervorschlag: § 3 SächsArchivG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https://recht.nulegal.eu/gesetze/S%C3%A4chsArchivG/3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