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SächsArchivG (Sachsen) — Begriffsbestimmungen</w:t>
      </w:r>
    </w:p>
    <w:p>
      <w:r>
        <w:rPr>
          <w:color w:val="555555"/>
          <w:sz w:val="18"/>
        </w:rPr>
        <w:t xml:space="preserve">Archivgesetz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Archivgut sind alle in das Archiv übernommenen archivwürdigen Unterlagen mit den zu ihrer Nutzung nötigen Hilfsmitteln. Archivwürdige Unterlagen entstehen beim Landtag, bei Gerichten, Behörden und sonstigen öffentlichen Stellen, bei natürlichen Personen oder bei juristischen Personen des Privatrechts. Zum Archivgut zählt auch Dokumentationsmaterial, das von den Archiven ergänzend gesammelt wird.</w:t>
      </w:r>
    </w:p>
    <w:p>
      <w:r>
        <w:t xml:space="preserve">(2) Unterlagen sind unabhängig von ihrer Speicherungsform alle Aufzeichnungen, insbesondere Urkunden, Amtsbücher, Akten, Einzelschriftstücke, Karten, Risse, Pläne, Medaillen, Bilder, Filme, Tonaufzeichnungen.</w:t>
      </w:r>
    </w:p>
    <w:p>
      <w:r>
        <w:t xml:space="preserve">(3) Archivwürdig sind Unterlagen, denen ein bleibender Wert für Gesetzgebung, Rechtsprechung, Regierung und Verwaltung, für Wissenschaft und Forschung oder für die Sicherung berechtigter Belange betroffener Personen und Institutionen oder Dritter zukommt.</w:t>
      </w:r>
    </w:p>
    <w:p>
      <w:r>
        <w:t xml:space="preserve">(4) Das Archivieren beinhaltet das Erfassen und Bewerten von Unterlagen und das Übernehmen, Verwahren, Erhalten, Erschließen sowie Nutzbarmachen und Auswerten von Archivgut.</w:t>
      </w:r>
    </w:p>
    <w:p>
      <w:r>
        <w:t xml:space="preserve">(5) Als Entstehung gilt der Zeitpunkt der letzten Bearbeitung der Unterlagen.</w:t>
      </w:r>
    </w:p>
    <w:p>
      <w:r>
        <w:rPr>
          <w:color w:val="555555"/>
          <w:sz w:val="17"/>
        </w:rPr>
        <w:t xml:space="preserve">Zitiervorschlag: § 2 SächsArchivG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https://recht.nulegal.eu/gesetze/S%C3%A4chsArchivG/2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