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SächsArchivG (Sachsen) — Einschränkung eines Grundrechts</w:t>
      </w:r>
    </w:p>
    <w:p>
      <w:r>
        <w:rPr>
          <w:color w:val="555555"/>
          <w:sz w:val="18"/>
        </w:rPr>
        <w:t xml:space="preserve">Archivgesetz für den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Recht auf informationelle Selbstbestimmung (Artikel 2 Abs. 1 in Verbindung mit Artikel 1 Abs.1 des Grundgesetzes , Artikel 33 der Verfassung des Freistaates Sachsen ) wird durch dieses Gesetz eingeschränkt.</w:t>
      </w:r>
    </w:p>
    <w:p>
      <w:r>
        <w:rPr>
          <w:color w:val="555555"/>
          <w:sz w:val="17"/>
        </w:rPr>
        <w:t xml:space="preserve">Zitiervorschlag: § 18 SächsArchivG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https://recht.nulegal.eu/gesetze/S%C3%A4chsArchivG/18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