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SächsArchivG (Sachsen) — Archiv des Landtages</w:t>
      </w:r>
    </w:p>
    <w:p>
      <w:r>
        <w:rPr>
          <w:color w:val="555555"/>
          <w:sz w:val="18"/>
        </w:rPr>
        <w:t xml:space="preserve">Archivgesetz für den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Sächsische Landtag unterhält ein eigenes Archiv. Er ist für die Archivierung der Unterlagen des Landtages, seiner Ausschüsse und sonstigen Gremien sowie seiner Verwaltung zuständig. § 3 Abs. 2 gilt nicht. Für die Unterlagen des Sächsischen Datenschutzbeauftragten gelten § 4 Abs. 2 und § 5 Abs. 1.</w:t>
      </w:r>
    </w:p>
    <w:p>
      <w:r>
        <w:t xml:space="preserve">(2) Für das Archiv des Sächsischen Landtages gelten § 5 Abs. 2 und 10, §§ 6, 8 bis 10 und § 11 Abs. 1 und 2 Satz 2 sinngemäß. Die Einzelheiten der Archivierung und Benutzung regelt der Sächsische Landtag in eigener Zuständigkeit.</w:t>
      </w:r>
    </w:p>
    <w:p>
      <w:r>
        <w:t xml:space="preserve">(3) Der Sächsische Landtag kann Archivgut und bei ihm entstandene Unterlagen, die er zur Erfüllung seiner Aufgaben nicht mehr benötigt, dem Sächsischen Staatsarchiv zur Übernahme anbieten.</w:t>
      </w:r>
    </w:p>
    <w:p>
      <w:r>
        <w:rPr>
          <w:color w:val="555555"/>
          <w:sz w:val="17"/>
        </w:rPr>
        <w:t xml:space="preserve">Zitiervorschlag: § 12 SächsArchivG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https://recht.nulegal.eu/gesetze/S%C3%A4chsArchivG/12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SächsArchivG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