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SächsArchivG (Sachsen) — Übermittlung von Vervielfältigungen von Archivgut in besonderen Fällen</w:t>
      </w:r>
    </w:p>
    <w:p>
      <w:r>
        <w:rPr>
          <w:color w:val="555555"/>
          <w:sz w:val="18"/>
        </w:rPr>
        <w:t xml:space="preserve">Archivgesetz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Sächsische Staatsarchiv kann Archiven, Museen und Forschungsstellen, die zu dem Zweck unterhalten werden, das Schicksal natürlicher Personen unter staatlicher Gewaltherrschaft darzustellen und zu erforschen, Vervielfältigungen von Archivgut vor Ablauf der Schutzfristen übermitteln, wenn ein besonderes öffentliches Interesse an der Übermittlung besteht. Die Übermittlung ist nur zulässig, wenn die empfangende Stelle ausreichende Garantien hinsichtlich des Schutzes des Persönlichkeitsrechts und der Ausübung der damit verbundenen Rechte bietet und sich in einer schriftlichen Vereinbarung mit dem Sächsischen Staatsarchiv verpflichtet, die §§ 6 und 10 entsprechend anzuwenden.</w:t>
      </w:r>
    </w:p>
    <w:p>
      <w:r>
        <w:t xml:space="preserve">(2) Die Übermittlung bedarf der Zustimmung des Sächsischen Staatsministeriums des Innern.</w:t>
      </w:r>
    </w:p>
    <w:p>
      <w:r>
        <w:rPr>
          <w:color w:val="555555"/>
          <w:sz w:val="17"/>
        </w:rPr>
        <w:t xml:space="preserve">Zitiervorschlag: § 11 SächsArchivG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