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SächsArchivG (Sachsen) — Schutzfristen</w:t>
      </w:r>
    </w:p>
    <w:p>
      <w:r>
        <w:rPr>
          <w:color w:val="555555"/>
          <w:sz w:val="18"/>
        </w:rPr>
        <w:t xml:space="preserve">Archivgesetz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Benutzung von Archivgut ist unbeschadet § 9 Abs. 2 erst nach Ablauf von Fristen (Schutzfristen) zulässig. Für die Benutzung von Archivgut gelten folgende Schutzfristen:</w:t>
      </w:r>
    </w:p>
    <w:p>
      <w:r>
        <w:t xml:space="preserve">1. eine allgemeine Schutzfrist von 30 Jahren nach Entstehung der Unterlagen,</w:t>
      </w:r>
    </w:p>
    <w:p>
      <w:r>
        <w:t xml:space="preserve">2. eine Schutzfrist von 60 Jahren nach Entstehung der Unterlagen, die sich nach ihrer Zweckbestimmung auf einen durch ein Berufsgeheimnis, ein besonderes Amtsgeheimnis oder einen durch sonstige Rechtsvorschrift über Geheimhaltung geschützten Lebenssachverhalt beziehen, und</w:t>
      </w:r>
    </w:p>
    <w:p>
      <w:r>
        <w:t xml:space="preserve">3. eine Schutzfrist von</w:t>
      </w:r>
    </w:p>
    <w:p>
      <w:r>
        <w:t xml:space="preserve">a)</w:t>
      </w:r>
    </w:p>
    <w:p>
      <w:r>
        <w:t xml:space="preserve">10 Jahren nach dem Tod der Person oder</w:t>
      </w:r>
    </w:p>
    <w:p>
      <w:r>
        <w:t xml:space="preserve">b)</w:t>
      </w:r>
    </w:p>
    <w:p>
      <w:r>
        <w:t xml:space="preserve">100 Jahren nach der Geburt der Person, wenn das Todesjahr nur mit unverhältnismäßigem Aufwand feststellbar ist, oder</w:t>
      </w:r>
    </w:p>
    <w:p>
      <w:r>
        <w:t xml:space="preserve">c)</w:t>
      </w:r>
    </w:p>
    <w:p>
      <w:r>
        <w:t xml:space="preserve">60 Jahren nach der Entstehung der Unterlagen, wenn weder das Todesjahr noch das Geburtsjahr feststellbar ist,</w:t>
      </w:r>
    </w:p>
    <w:p>
      <w:r>
        <w:t xml:space="preserve">für Archivgut, das sich seiner Zweckbestimmung oder seinem wesentlichen Inhalt nach auf eine oder mehrere natürliche Personen bezieht (personenbezogenes Archivgut).</w:t>
      </w:r>
    </w:p>
    <w:p>
      <w:r>
        <w:t xml:space="preserve">Für Archivgut, das Rechtsvorschriften des Bundes über die Geheimhaltung unterliegt, gelten § 11 Absatz 3 und § 12 Absatz 3 des Bundesarchivgesetzes entsprechend.</w:t>
      </w:r>
    </w:p>
    <w:p>
      <w:r>
        <w:t xml:space="preserve">(2) Die Schutzfristen nach Absatz 1 gelten nicht für solche Unterlagen, die bereits bei ihrer Entstehung zur Veröffentlichung bestimmt waren oder auf der Transparenzplattform veröffentlicht worden sind. Die Schutzfristen nach Absatz 1 Satz 2 Nr. 1 und 2 gelten nicht für Archivgut nach § 4 Abs. 2 Satz 2. Für Amtsträger in Ausübung ihrer Ämter und absolute Personen der Zeitgeschichte, soweit nicht ihr schutzwürdiger privater Lebensbereich betroffen ist, gilt die Schutzfrist des Absatzes 1 Satz 2 Nr. 3 nicht. Entsprechendes gilt auch für Mitarbeiter der in § 4 Abs. 2 Satz 2 genannten Stellen.</w:t>
      </w:r>
    </w:p>
    <w:p>
      <w:r>
        <w:t xml:space="preserve">(3) Die in Absatz 1 festgelegten Schutzfristen gelten auch bei der Benutzung durch öffentliche Stellen. Für die abgebenden öffentlichen Stellen gelten die Schutzfristen des Absatzes 1 nur für Unterlagen, die bei ihnen aufgrund besonderer Vorschriften hätten in der Verarbeitung eingeschränkt, gelöscht oder vernichtet werden müssen.</w:t>
      </w:r>
    </w:p>
    <w:p>
      <w:r>
        <w:t xml:space="preserve">(4) Eine Benutzung personenbezogenen Archivgutes ist unabhängig von den in Absatz 1 genannten Schutzfristen zulässig, wenn die Person, auf die sich das Archivgut bezieht, eingewilligt hat. Nach dem Tod der Person ist die Einwilligung von dem überlebenden Ehegatten oder eingetragenen Lebenspartner, nach dessen Tod von den geschäftsfähigen Kindern der betroffenen Person und, wenn weder ein Ehegatte noch Kinder vorhanden sind, von den Eltern der betroffenen Person zu erklären.</w:t>
      </w:r>
    </w:p>
    <w:p>
      <w:r>
        <w:t xml:space="preserve">(5) Die Schutzfristen nach Absatz 1 Satz 2 Nr. 1 und 2 können im Einzelfall verkürzt werden, wenn es im öffentlichen Interesse liegt. Bei personenbezogenem Archivgut ist eine Verkürzung nur zulässig, wenn die Benutzung für ein konkretes Forschungsvorhaben oder zur Wahrnehmung berechtigter Belange einer anderen Person oder öffentlichen Stelle erforderlich ist und wenn das öffentliche Interesse an der Durchführung des Forschungsvorhabens oder die berechtigten Belange einer anderen Person oder öffentlichen Stelle die schutzwürdigen Belange der Person, auf die sich das Archivgut bezieht, überwiegen. Soweit der Forschungszweck es zulässt, sind die Forschungsergebnisse ohne personenbezogene Angaben aus dem Archivgut zu veröffentlichen.</w:t>
      </w:r>
    </w:p>
    <w:p>
      <w:r>
        <w:rPr>
          <w:color w:val="555555"/>
          <w:sz w:val="17"/>
        </w:rPr>
        <w:t xml:space="preserve">Zitiervorschlag: § 10 SächsArchivG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