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SächsArchivBenVO (Sachsen)</w:t>
      </w:r>
    </w:p>
    <w:p>
      <w:r>
        <w:rPr>
          <w:color w:val="555555"/>
          <w:sz w:val="18"/>
        </w:rPr>
        <w:t xml:space="preserve">Sächsische Archivbenutzungsverordnung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16 Nummer 1 des Archivgesetzes für den Freistaat Sachsen vom 17. Mai 1993 (SächsGVBl. S. 449), der durch Artikel 2 Nummer 13 des Gesetzes vom 5. Mai 2004 (SächsGVBl. S. 148) geändert worden ist, verordnet das Staatsministerium des Innern:</w:t>
      </w:r>
    </w:p>
    <w:p>
      <w:r>
        <w:rPr>
          <w:color w:val="555555"/>
          <w:sz w:val="17"/>
        </w:rPr>
        <w:t xml:space="preserve">Zitiervorschlag: Eingangsformel SächsArchivBenVO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https://recht.nulegal.eu/gesetze/S%C3%A4chsArchivBenVO/eingangsformel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