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SächsArchivBenVO (Sachsen) — Einsichtnahme im Sächsischen Staatsarchiv</w:t>
      </w:r>
    </w:p>
    <w:p>
      <w:r>
        <w:rPr>
          <w:color w:val="555555"/>
          <w:sz w:val="18"/>
        </w:rPr>
        <w:t xml:space="preserve">Sächsische Archivbenutzungsverordnung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persönlichen Einsichtnahme wird Archivgut grundsätzlich nur in den dafür vorgesehenen Lesesälen des Sächsischen Staatsarchivs nach festgelegten Bestimmungen für einen geordneten Ablauf der Benutzung und zum Schutz des Archivgutes vorgelegt.</w:t>
      </w:r>
    </w:p>
    <w:p>
      <w:r>
        <w:t xml:space="preserve">(2) Das Sächsische Staatsarchiv kann die Einsichtnahme in Archivgut ermöglichen, das von anderen Archiven übersandt wird. Soweit mit dem versendenden Archiv nichts anderes vereinbart wurde, gelten die Bestimmungen dieser Verordnung entsprechend.</w:t>
      </w:r>
    </w:p>
    <w:p>
      <w:r>
        <w:rPr>
          <w:color w:val="555555"/>
          <w:sz w:val="17"/>
        </w:rPr>
        <w:t xml:space="preserve">Zitiervorschlag: § 4 SächsArchivBenVO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https://recht.nulegal.eu/gesetze/S%C3%A4chsArchivBenVO/4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SächsArchivBenVO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