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SächsArchivBenVO (Sachsen) — Benutzung von Archivgut mit Schutzfristen</w:t>
      </w:r>
    </w:p>
    <w:p>
      <w:r>
        <w:rPr>
          <w:color w:val="555555"/>
          <w:sz w:val="18"/>
        </w:rPr>
        <w:t xml:space="preserve">Sächsische Archivbenutzungsverordnung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Verkürzung der Schutzfristen gemäß § 10 Absatz 5 des Archivgesetzes für den Freistaat Sachsen ist schriftlich beim Sächsischen Staatsarchiv zu beantragen. Der Antrag ist zu begründen.</w:t>
      </w:r>
    </w:p>
    <w:p>
      <w:r>
        <w:t xml:space="preserve">(2) Wird die Verkürzung von Schutzfristen für personenbezogenes Archivgut auf der Grundlage von § 10 Absatz 5 Satz 2 des Archivgesetzes für den Freistaat Sachsen beantragt, ist von der antragstellenden Person anzugeben,</w:t>
      </w:r>
    </w:p>
    <w:p>
      <w:r>
        <w:t xml:space="preserve">1. für welches konkrete Forschungsvorhaben die Benutzung erforderlich ist oder</w:t>
      </w:r>
    </w:p>
    <w:p>
      <w:r>
        <w:t xml:space="preserve">2. zur Wahrnehmung welcher berechtigten Belange welcher anderen Person oder öffentlichen Stelle die Benutzung erforderlich ist.</w:t>
      </w:r>
    </w:p>
    <w:p>
      <w:r>
        <w:t xml:space="preserve">Das Sächsische Staatsarchiv kann zur Prüfung der Voraussetzungen nach § 10 Absatz 5 Satz 1 und 2 des Archivgesetzes für den Freistaat Sachsen die Vorlage ergänzender Angaben oder Unterlagen verlangen. Die im Antrag gemäß § 2 Absatz 2 Satz 2 angegebenen Personen haben sich auszuweisen.</w:t>
      </w:r>
    </w:p>
    <w:p>
      <w:r>
        <w:t xml:space="preserve">(3) Eine schriftliche Einwilligung gemäß § 10 Absatz 4 des Archivgesetzes für den Freistaat Sachsen ist von der antragstellenden Person beizubringen.</w:t>
      </w:r>
    </w:p>
    <w:p>
      <w:r>
        <w:rPr>
          <w:color w:val="555555"/>
          <w:sz w:val="17"/>
        </w:rPr>
        <w:t xml:space="preserve">Zitiervorschlag: § 3 SächsArchivBenVO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https://recht.nulegal.eu/gesetze/S%C3%A4chsArchivBenVO/3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