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SächsArchG (Sachsen) — Bekanntmachung der Neufassung des Sächsischen Architektengesetzes</w:t>
      </w:r>
    </w:p>
    <w:p>
      <w:r>
        <w:rPr>
          <w:color w:val="555555"/>
          <w:sz w:val="18"/>
        </w:rPr>
        <w:t xml:space="preserve">Sächsisches Architektengesetz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7. März 2017</w:t>
      </w:r>
    </w:p>
    <w:p>
      <w:r>
        <w:t xml:space="preserve">Berichtigung vom 4. April 2017 (SächsGVBl. S. 237)</w:t>
      </w:r>
    </w:p>
    <w:p>
      <w:r>
        <w:t xml:space="preserve">Auf Grund des Artikels 5 des Gesetzes vom 10. Februar 2017 (SächsGVBl. S. 50) wird nachstehend der Wortlaut des Sächsischen Architektengesetzes in der seit dem 1. März 2017 geltenden Fassung bekannt gemacht. Die Neufassung berücksichtigt:</w:t>
      </w:r>
    </w:p>
    <w:p>
      <w:r>
        <w:t xml:space="preserve">1. das am 1. Mai 2014 in Kraft getretene Gesetz vom 2. April 2014 (SächsGVBl. S. 238),</w:t>
      </w:r>
    </w:p>
    <w:p>
      <w:r>
        <w:t xml:space="preserve">2. den am 1. März 2017 in Kraft getretenen Artikel 2 des Gesetzes vom 10. Februar 2017 (SächsGVBl. S. 50).</w:t>
      </w:r>
    </w:p>
    <w:p>
      <w:r>
        <w:t xml:space="preserve">Dresden, den 7. März 2017</w:t>
      </w:r>
    </w:p>
    <w:p>
      <w:r>
        <w:t xml:space="preserve">Der Staatsminister des Innern</w:t>
      </w:r>
    </w:p>
    <w:p>
      <w:r>
        <w:t xml:space="preserve">Markus Ulbig</w:t>
      </w:r>
    </w:p>
    <w:p>
      <w:r>
        <w:rPr>
          <w:color w:val="555555"/>
          <w:sz w:val="17"/>
        </w:rPr>
        <w:t xml:space="preserve">Zitiervorschlag: Volltext SächsArchG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https://recht.nulegal.eu/gesetze/S%C3%A4chsArchG/volltext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