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SächsArchG (Sachsen) — Übergangsvorschriften zum Versorgungswerk</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Mitglieder der Architektenkammer Sachsen, die am 25. November 2007 bereits das 45. Lebensjahr vollendet haben und von der Pflichtmitgliedschaft nach § 26 Absatz 1 Satz 2 des Sächsischen Architektengesetzes (SächsArchG) vom 19. April 1994 (SächsGVBl. S. 765), das durch Artikel 11 des Gesetzes vom 10. Dezember 1998 (SächsGVBl. S. 662, 663) geändert worden ist, in der am 28. Juni 2002 geltenden Fassung, befreit waren, sind von der Pflichtmitgliedschaft ausgeschlossen. Mitglieder, die im Zeitraum vom 1. Januar 2005 bis zum 25. November 2007 das 45. Lebensjahr vollendet haben und von der Pflichtmitgliedschaft nach § 26 Absatz 1 Satz 2 SächsArchG , in der am 28. Juni 2002 geltenden Fassung, befreit waren, sind von der Pflichtmitgliedschaft nicht ausgeschlossen, wenn sie die Aufnahme in das Versorgungswerk innerhalb einer Frist von 6 Monaten nach Inkrafttreten des Sächsischen Versicherungsaufsichtsgesetzes beantragt haben. Berufsangehörige, die anlässlich der Gründung des Versorgungswerkes von der Pflichtmitgliedschaft befreit waren oder auf Antrag befreit wurden, und solche, die wegen der Teilnahme in einer anderen berufsständischen Versorgungseinrichtung befreit wurden, bleiben von der Pflichtteilnahme ausgenommen.</w:t>
      </w:r>
    </w:p>
    <w:p>
      <w:r>
        <w:t xml:space="preserve">(2) Die Satzung des Versorgungswerkes kann für die bis 31. Dezember 2004 in das Versorgungswerk eingezahlten Beiträge Bestimmungen über die Erstattung an Personen, die keine Familienangehörigen sind, vorsehen.</w:t>
      </w:r>
    </w:p>
    <w:p>
      <w:r>
        <w:rPr>
          <w:color w:val="555555"/>
          <w:sz w:val="17"/>
        </w:rPr>
        <w:t xml:space="preserve">Zitiervorschlag: § 40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