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SächsArchG (Sachsen) — Verordnungsermächtigungen</w:t>
      </w:r>
    </w:p>
    <w:p>
      <w:r>
        <w:rPr>
          <w:color w:val="555555"/>
          <w:sz w:val="18"/>
        </w:rPr>
        <w:t xml:space="preserve">Sächsisches Architektengesetz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Staatsministerium für Regionalentwicklung wird ermächtigt, durch Rechtsverordnung die zur Durchführung dieses Gesetzes notwendigen Vorschriften zu erlassen</w:t>
      </w:r>
    </w:p>
    <w:p>
      <w:r>
        <w:t xml:space="preserve">1. über die Verfahren vor dem Eintragungsausschuss sowie die für die Eintragung in eine Liste, ein Verzeichnis oder in das Gesellschaftsverzeichnis vorzulegenden oder anzuerkennenden Nachweise,</w:t>
      </w:r>
    </w:p>
    <w:p>
      <w:r>
        <w:t xml:space="preserve">2. über weitere von der Architektenkammer Sachsen wahrzunehmende Aufgaben im Benehmen mit der Architektenkammer Sachsen,</w:t>
      </w:r>
    </w:p>
    <w:p>
      <w:r>
        <w:t xml:space="preserve">3. zur Umsetzung der Richtlinie 2005/36/EG und</w:t>
      </w:r>
    </w:p>
    <w:p>
      <w:r>
        <w:t xml:space="preserve">4. zur Umsetzung der Richtlinie 2006/123/EG.</w:t>
      </w:r>
    </w:p>
    <w:p>
      <w:r>
        <w:t xml:space="preserve">(2) Das Staatsministerium für Regionalentwicklung wird ermächtigt, durch Rechtsverordnung die Mindestversicherungssumme nach § 3 Absatz 3, § 9 Absatz 4 und § 10 Absatz 3 anders festzusetzen, wenn dies erforderlich ist, um bei einer Änderung der allgemeinen wirtschaftlichen Verhältnisse einen hinreichenden Schutz der Geschädigten sicherzustellen.</w:t>
      </w:r>
    </w:p>
    <w:p>
      <w:r>
        <w:rPr>
          <w:color w:val="555555"/>
          <w:sz w:val="17"/>
        </w:rPr>
        <w:t xml:space="preserve">Zitiervorschlag: § 38 SächsArchG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https://recht.nulegal.eu/gesetze/S%C3%A4chsArchG/38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