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SächsArchG (Sachsen) — Ordnungswidrigkeiten</w:t>
      </w:r>
    </w:p>
    <w:p>
      <w:r>
        <w:rPr>
          <w:color w:val="555555"/>
          <w:sz w:val="18"/>
        </w:rPr>
        <w:t xml:space="preserve">Sächsisches Architektengesetz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1 Absatz 1 bis 3 Berufsbezeichnungen, Wortverbindungen oder ähnliche Bezeichnungen führt,</w:t>
      </w:r>
    </w:p>
    <w:p>
      <w:r>
        <w:t xml:space="preserve">2. als Gesellschafterin, Gesellschafter, Geschäftsführerin oder Geschäftsführer einer Gesellschaft das unbefugte Führen einer Berufsbezeichnung oder einer Wortverbindung oder ähnlichen Bezeichnung nach § 1 Absatz 1 bis 3 im Namen oder in der Firma der Gesellschaft zulässt,</w:t>
      </w:r>
    </w:p>
    <w:p>
      <w:r>
        <w:t xml:space="preserve">3. bestehenden Anzeigeverpflichtungen nach § 11 Absatz 4 Satz 1 oder § 36 Absatz 1 Satz 1 nicht nachkommt,</w:t>
      </w:r>
    </w:p>
    <w:p>
      <w:r>
        <w:t xml:space="preserve">4. ihr oder ihm obliegenden Mitteilungspflichten nach § 6 Absatz 1 Satz 3, § 9 Absatz 6 Satz 4, § 11 Absatz 6 Satz 1 und § 36 Absatz 2 Satz 6 nicht nachkommt oder</w:t>
      </w:r>
    </w:p>
    <w:p>
      <w:r>
        <w:t xml:space="preserve">5. Bauvorlagen einreicht oder Standsicherheitsnachweise und Brandschutznachweise für Bauvorhaben unterzeichnet, ohne die entsprechende Berechtigung zu besitzen.</w:t>
      </w:r>
    </w:p>
    <w:p>
      <w:r>
        <w:t xml:space="preserve">(2) Die Ordnungswidrigkeit kann mit einer Geldbuße bis 25 000 Euro geahndet werden.</w:t>
      </w:r>
    </w:p>
    <w:p>
      <w:r>
        <w:t xml:space="preserve">(3) Die Architektenkammer Sachsen ist zuständige Verwaltungsbehörde zur Verfolgung und Ahndung von Ordnungswidrigkeiten.</w:t>
      </w:r>
    </w:p>
    <w:p>
      <w:r>
        <w:rPr>
          <w:color w:val="555555"/>
          <w:sz w:val="17"/>
        </w:rPr>
        <w:t xml:space="preserve">Zitiervorschlag: § 37 SächsArchG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https://recht.nulegal.eu/gesetze/S%C3%A4chsArchG/37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