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36c SächsArchG (Sachsen) — Europäischer Vorwarnmechanismus, Beschwerdeverfahren im europäischen Dienstleistungsverkehr</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ist im Rahmen der Anerkennung von Berufsqualifikationen für einen Beruf, der im Anwendungsbereich dieses Gesetzes liegt, die zuständige Behörde gemäß § 14 Absatz 3 Nummer 2 für ausgehende Warnungen über das IMI gemäß Artikel 56a Absatz 3 der Richtlinie 2005/36/EG, sofern nicht eine diesbezügliche Zuständigkeit der Gerichte besteht. Sie ist auch zuständige Behörde für eingehende Warnungen. § 1 Absatz 2 des Gesetzes über den einheitlichen Ansprechpartner im Freistaat Sachsen vom 13. August 2009 (SächsGVBl. S. 446), das zuletzt durch Artikel 2 Absatz 2 des Gesetzes vom 5. April 2019 (SächsGVBl. S. 245) geändert worden ist, in der jeweils geltenden Fassung, bleibt unberührt.</w:t>
      </w:r>
    </w:p>
    <w:p>
      <w:r>
        <w:t xml:space="preserve">(2) Im Fall einer gerichtlichen Feststellung, dass eine Antragstellerin oder ein Antragsteller im Rahmen der Anerkennung einer Berufsqualifikation für einen Beruf, der im Anwendungsbereich dieses Gesetzes liegt, gefälschte Nachweise verwendet hat, unterrichtet die Architektenkammer Sachsen, sofern nicht eine unmittelbare Unterrichtung durch ein Gericht erfolgt, die zuständigen Behörden der übrigen Mitgliedstaaten der Europäischen Union oder diesen durch Abkommen gleichgestellten Staaten und der anderen Bundesländer, die an das IMI angeschlossen sind, über das IMI spätestens drei Tage nach Vorliegen einer vollziehbaren Entscheidung über die Identität der betreffenden Person. Die Warnungen erfolgen unter weiterer Berücksichtigung der Durchführungsrechtsakte nach Artikel 56a Absatz 8 der Richtlinie 2005/36/EG.</w:t>
      </w:r>
    </w:p>
    <w:p>
      <w:r>
        <w:t xml:space="preserve">(3) Die von der Warnung betroffene Person nach Absatz 2 Satz 1 ist schriftlich darüber zu informieren, dass in Bezug auf ihre Person eine solche Warnung übermittelt worden ist. Mit der Information nach Satz 1 ist die betroffene Person gleichzeitig darüber zu unterrichten,</w:t>
      </w:r>
    </w:p>
    <w:p>
      <w:r>
        <w:t xml:space="preserve">1. welchen Rechtsbehelf sie gegen die Warnung einlegen kann,</w:t>
      </w:r>
    </w:p>
    <w:p>
      <w:r>
        <w:t xml:space="preserve">2. dass sie die Berichtigung der Warnung verlangen kann,</w:t>
      </w:r>
    </w:p>
    <w:p>
      <w:r>
        <w:t xml:space="preserve">3. dass ihr im Fall einer zu Unrecht übermittelten Warnung ein Schadensersatzanspruch zustehen kann.</w:t>
      </w:r>
    </w:p>
    <w:p>
      <w:r>
        <w:t xml:space="preserve">(4) Die zuständige Behörde nach Absatz 1 unterrichtet die zuständigen Behörden der übrigen Mitgliedstaaten der Europäischen Union oder diesen durch Abkommen gleichgestellten Staaten, die an das IMI angeschlossen sind, über das IMI, wenn eine betroffene Person einen Rechtsbehelf gegen die Warnung eingelegt hat.</w:t>
      </w:r>
    </w:p>
    <w:p>
      <w:r>
        <w:t xml:space="preserve">(5) Soweit die Warnung nach Absatz 2 über das IMI nicht mehr gültig ist, ist sie binnen drei Kalendertagen ab dem Datum der vollziehbaren Entscheidung über den Widerruf oder ab dem Zeitpunkt, an dem sie sonst ungültig geworden ist, zu löschen.</w:t>
      </w:r>
    </w:p>
    <w:p>
      <w:r>
        <w:t xml:space="preserve">(6) Beschwert sich eine Dienstleistungsempfängerin oder ein Dienstleistungsempfänger bei der Architektenkammer Sachsen über eine im Freistaat Sachsen erbrachte Dienstleistung einer auswärtigen Architektin, eines auswärtigen Architekten, einer auswärtigen Innenarchitektin, eines auswärtigen Innenarchitekten, einer auswärtigen Landschaftsarchitektin, eines auswärtigen Landschaftsarchitekten, einer auswärtigen Stadtplanerin oder eines auswärtigen Stadtplaners, die oder der in einem Mitgliedstaat der Europäischen Union oder einem diesem durch Abkommen gleichgestellten Staat niedergelassen ist, prüft die Architektenkammer Sachsen, wenn die Dienstleisterin oder der Dienstleister bei ihr in ein Verzeichnis nach § 36 Absatz 2 Satz 1 eingetragen ist, ob es sich um einen Fall nach Abschnitt 4 handelt. Liegt keine Eintragung vor, leitet die Architektenkammer Sachsen die Beschwerde an die Architektenkammer weiter, bei der die Dienstleistungsanzeige erfolgt ist. Diese Architektenkammer und die Architektenkammer Sachsen tauschen die erforderlichen Informationen aus. Die Dienstleistungsempfängerin oder der Dienstleistungsempfänger wird über das Ergebnis der Beschwerde unterrichtet. Auf Anforderung der zuständigen Stelle eines Niederlassungsmitgliedsstaates übermittelt die Architektenkammer Sachsen über eine oder einen bei ihr in einer Liste oder einem Verzeichnis eingetragene Berufsangehörige oder eingetragenen Berufsangehörigen die Informationen, welche zur Durchführung des Beschwerdeverfahrens wegen einer dort erbrachten Dienstleistung erforderlich sind.</w:t>
      </w:r>
    </w:p>
    <w:p>
      <w:r>
        <w:rPr>
          <w:color w:val="555555"/>
          <w:sz w:val="17"/>
        </w:rPr>
        <w:t xml:space="preserve">Zitiervorschlag: § 36c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https://recht.nulegal.eu/gesetze/S%C3%A4chsArchG/36c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