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 SächsArchG (Sachsen) — Allgemeine Regelung</w:t>
      </w:r>
    </w:p>
    <w:p>
      <w:r>
        <w:rPr>
          <w:color w:val="555555"/>
          <w:sz w:val="18"/>
        </w:rPr>
        <w:t xml:space="preserve">Sächsisches Architektengesetz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Für eine Person mit einer ausländischen Berufsqualifikation, die eine der Berufsbezeichnungen nach § 1 Absatz 1 führen will, finden die Vorschriften des Sächsischen Berufsqualifikationsfeststellungsgesetzes vom 17. Dezember 2013 (SächsGVBl. S. 874), das zuletzt durch Artikel 1 des Gesetzes vom 30. September 2020 (SächsGVBl. S. 522) geändert worden ist, in der jeweils geltenden Fassung, keine Anwendung, es sei denn, dieses Gesetz nimmt ausdrücklich auf die Vorschriften des Sächsischen Berufsqualifikationsfeststellungsgesetzes Bezug.</w:t>
      </w:r>
    </w:p>
    <w:p>
      <w:r>
        <w:t xml:space="preserve">(2) Für die Begriffe „Ausbildungsnachweis“, „reglementierter Beruf“ und „reglementierte Ausbildung“ gelten die Begriffsbestimmungen des Artikels 3 der Richtlinie 2005/36/EG entsprechend.</w:t>
      </w:r>
    </w:p>
    <w:p>
      <w:r>
        <w:rPr>
          <w:color w:val="555555"/>
          <w:sz w:val="17"/>
        </w:rPr>
        <w:t xml:space="preserve">Zitiervorschlag: § 33 SächsArchG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https://recht.nulegal.eu/gesetze/S%C3%A4chsArchG/33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