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SächsArchG (Sachsen) — Ehrenverfahren gegenüber Gesellschaften</w:t>
      </w:r>
    </w:p>
    <w:p>
      <w:r>
        <w:rPr>
          <w:color w:val="555555"/>
          <w:sz w:val="18"/>
        </w:rPr>
        <w:t xml:space="preserve">Sächsisches Architektengesetz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§§ 29, 30 und 31 Absatz 3 bis 8 finden auf Gesellschaften nach den §§ 9 bis 11 entsprechende Anwendung. Auf folgende Maßnahmen kann erkannt werden:</w:t>
      </w:r>
    </w:p>
    <w:p>
      <w:r>
        <w:t xml:space="preserve">1. Verweis,</w:t>
      </w:r>
    </w:p>
    <w:p>
      <w:r>
        <w:t xml:space="preserve">2. Verwarnungsgeld bis 50 000 Euro,</w:t>
      </w:r>
    </w:p>
    <w:p>
      <w:r>
        <w:t xml:space="preserve">3. Löschung aus dem Gesellschaftsverzeichnis nach § 9 Absatz 1 und</w:t>
      </w:r>
    </w:p>
    <w:p>
      <w:r>
        <w:t xml:space="preserve">4. bei auswärtigen Gesellschaften nach § 11 Löschung aus dem Verzeichnis und Untersagung die Berufsbezeichnung, den Zusatz oder Wortverbindungen nach § 1 Absatz 1 bis 3 zu führen.</w:t>
      </w:r>
    </w:p>
    <w:p>
      <w:r>
        <w:t xml:space="preserve">Maßnahmen nach Satz 2 können nebeneinander verhängt werden. Die Gesellschaften nach den §§ 9 bis 11 können im Ehrenverfahren nur durch diejenige Partnerin oder Gesellschafterin oder denjenigen Partner oder Gesellschafter vertreten werden, die oder der zur Führung der Berufsbezeichnung nach § 1 berechtigt ist. Weitere Partnerinnen und Partner oder Gesellschafterinnen und Gesellschafter können als Betroffene an diesem Verfahren teilnehmen.</w:t>
      </w:r>
    </w:p>
    <w:p>
      <w:r>
        <w:rPr>
          <w:color w:val="555555"/>
          <w:sz w:val="17"/>
        </w:rPr>
        <w:t xml:space="preserve">Zitiervorschlag: § 32 SächsArchG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https://recht.nulegal.eu/gesetze/S%C3%A4chsArchG/32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