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SächsArchG (Sachsen) — Verfahrensvorschriften</w:t>
      </w:r>
    </w:p>
    <w:p>
      <w:r>
        <w:rPr>
          <w:color w:val="555555"/>
          <w:sz w:val="18"/>
        </w:rPr>
        <w:t xml:space="preserve">Sächsisches Architektengesetz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Soweit dieses Gesetz keine Verfahrensregelungen trifft, finden für das Ehrenverfahren die Bestimmungen der §§ 18 bis 28 und 30 des Sächsischen Disziplinargesetzes vom 10. April 2007 (SächsGVBl. S. 54), das zuletzt durch Artikel 8 Absatz 7 des Gesetzes vom 6. Juli 2023 (SächsGVBl. S. 467) geändert worden ist, in der jeweils geltenden Fassung, sowie des Gesetzes zur Regelung des Verwaltungsverfahrens- und des Verwaltungszustellungsrechts für den Freistaat Sachsen entsprechend Anwendung.</w:t>
      </w:r>
    </w:p>
    <w:p>
      <w:r>
        <w:rPr>
          <w:color w:val="555555"/>
          <w:sz w:val="17"/>
        </w:rPr>
        <w:t xml:space="preserve">Zitiervorschlag: § 30 SächsArchG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https://recht.nulegal.eu/gesetze/S%C3%A4chsArchG/30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