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26a SächsArchG (Sachsen) — Auskünfte</w:t>
      </w:r>
    </w:p>
    <w:p>
      <w:r>
        <w:rPr>
          <w:color w:val="555555"/>
          <w:sz w:val="18"/>
        </w:rPr>
        <w:t xml:space="preserve">Sächsisches Architektengesetz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Versorgungswerk erteilt Auskunft über die dort bekannte derzeitige Anschrift, den derzeitigen oder zukünftigen Aufenthaltsort eines Mitglieds des Versorgungswerks auf Verlangen</w:t>
      </w:r>
    </w:p>
    <w:p>
      <w:r>
        <w:t xml:space="preserve">a) der Gerichtsvollzieherin oder des Gerichtsvollziehers nach § 755 Absatz 2 Satz 1 Nummer 2 der Zivilprozessordnung ,</w:t>
      </w:r>
    </w:p>
    <w:p>
      <w:r>
        <w:t xml:space="preserve">b) der Vollstreckungsbehörde nach § 5a Absatz 1 Nummer 2 des Verwaltungs-Vollstreckungsgesetzes in der im Bundesgesetzblatt Teil III, Gliederungsnummer 201-4, veröffentlichten bereinigten Fassung, das zuletzt durch Artikel 5 des Gesetzes vom 10. August 2021 (BGBl. I S. 3436) geändert worden ist, in der jeweils geltenden Fassung,</w:t>
      </w:r>
    </w:p>
    <w:p>
      <w:r>
        <w:t xml:space="preserve">c) der zentralen Behörde nach § 16 Absatz 2 Satz 1 Nummer 1 des Auslandsunterhaltsgesetzes vom 23. Mai 2011 (BGBl. I S. 898), das zuletzt durch Artikel 4 des Gesetzes vom 10. August 2021 (BGBl. I S. 3424) geändert worden ist, in der jeweils geltenden Fassung,</w:t>
      </w:r>
    </w:p>
    <w:p>
      <w:r>
        <w:t xml:space="preserve">d) der Vollstreckungsbehörde nach § 5a Absatz 1 Nummer 2 des Verwaltungsvollstreckungsgesetzes für den Freistaat Sachsen .</w:t>
      </w:r>
    </w:p>
    <w:p>
      <w:r>
        <w:t xml:space="preserve">(2) Das Versorgungswerk erteilt Auskunft über den Namen und die Vornamen oder die Firma sowie die Anschrift der derzeitigen Arbeitgeber eines Mitglieds des Versorgungwerks auf Verlangen</w:t>
      </w:r>
    </w:p>
    <w:p>
      <w:r>
        <w:t xml:space="preserve">a) der Gerichtsvollzieherin oder des Gerichtsvollziehers nach § 802l Absatz 1 Satz 1 Nummer 1 der Zivilprozessordnung ,</w:t>
      </w:r>
    </w:p>
    <w:p>
      <w:r>
        <w:t xml:space="preserve">b) der Vollstreckungsbehörde nach § 5b Absatz 1 Satz 1 Nummer 1 des Verwaltungs-Vollstreckungsgesetzes ,</w:t>
      </w:r>
    </w:p>
    <w:p>
      <w:r>
        <w:t xml:space="preserve">c) der zentralen Behörde nach § 17 Absatz 1 Satz 2 Nummer 1 des Auslandsunterhaltsgesetzes ,</w:t>
      </w:r>
    </w:p>
    <w:p>
      <w:r>
        <w:t xml:space="preserve">d) der Vollstreckungsbehörde nach § 12a Absatz 3 Satz 1 Nummer 1 und § 17a Absatz 1 Nummer 1 des Verwaltungsvollstreckungsgesetzes für den Freistaat Sachsen .</w:t>
      </w:r>
    </w:p>
    <w:p>
      <w:r>
        <w:t xml:space="preserve">Gleiches gilt, wenn das Insolvenzgericht nach § 98 Absatz 1a Satz 1 der Insolvenzordnung an Stelle der Gerichtsvollzieherin oder des Gerichtsvollziehers die Auskunft nach § 802l Absatz 1 Satz 1 Nummer 1 der Zivilprozessordnung verlangt.</w:t>
      </w:r>
    </w:p>
    <w:p>
      <w:r>
        <w:t xml:space="preserve">(3) Das Versorgungswerk kann die Auskunft verweigern, soweit es Grund zu der Annahme hat, dass durch die Übermittlung schutzwürdige Interessen der betroffenen Person beeinträchtigt werden.</w:t>
      </w:r>
    </w:p>
    <w:p>
      <w:r>
        <w:t xml:space="preserve">(4) Durch Auskünfte aufgrund der Absätze 1 und 2 wird das Grundrecht auf informationelle Selbstbestimmung (Artikel 2 Absatz 1 in Verbindung mit Artikel 1 Absatz 1 des Grundgesetzes und Artikel 33 der Verfassung des Freistaates Sachsen ) eingeschränkt. Die Vorschriften der Verordnung (EU) 2016/679 und des Sächsischen Datenschutzdurchführungsgesetzes sowie die Auskunftserteilung aufgrund anderer Gesetze bleiben unberührt.</w:t>
      </w:r>
    </w:p>
    <w:p>
      <w:r>
        <w:rPr>
          <w:color w:val="555555"/>
          <w:sz w:val="17"/>
        </w:rPr>
        <w:t xml:space="preserve">Zitiervorschlag: § 26a SächsArchG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https://recht.nulegal.eu/gesetze/S%C3%A4chsArchG/26a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