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SächsArchG (Sachsen) — Besondere Anforderungen bei berufsreglementierenden Satzungen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Satzungen müssen im Einklang mit den Vorgaben des auf sie anzuwendenden europäischen Rechts stehen. Insbesondere sind bei neuen oder zu ändernden Vorschriften, die dem Anwendungsbereich der Richtlinie (EU) 2018/958 des Europäischen Parlaments und des Rates vom 28. Juni 2018 über eine Verhältnismäßigkeitsprüfung vor Erlass neuer Berufsreglementierungen (ABl. L 173 vom 9.7.2018, S. 25), in der jeweils geltenden Fassung, unterfallen, die Vorgaben dieser Richtlinie einzuhalten.</w:t>
      </w:r>
    </w:p>
    <w:p>
      <w:r>
        <w:t xml:space="preserve">(1a) Es gelten die Begriffsbestimmungen nach Artikel 3 der Richtlinie 2005/36/EG. Ergänzend gelten die folgenden Begriffsbestimmungen:</w:t>
      </w:r>
    </w:p>
    <w:p>
      <w:r>
        <w:t xml:space="preserve">1. „Geschützte Berufsbezeichnung“ bezeichnet eine Form der Reglementierung eines Berufs, bei der die Verwendung einer Bezeichnung bei der Ausübung einer beruflichen Tätigkeit oder einer Gruppe von beruflichen Tätigkeiten aufgrund von Rechts- und Verwaltungsvorschriften unmittelbar oder mittelbar dem Besitz einer bestimmten Berufsqualifikation unterliegt und bei einer missbräuchlichen Verwendung dieser Bezeichnung Sanktionen verhängt werden.</w:t>
      </w:r>
    </w:p>
    <w:p>
      <w:r>
        <w:t xml:space="preserve">2. „Vorbehaltene Tätigkeiten“ bedeutet eine Form der Reglementierung eines Berufs, bei der der Zugang zu einer beruflichen Tätigkeit oder einer Gruppe von beruflichen Tätigkeiten aufgrund von Rechts- und Verwaltungsvorschriften unmittelbar oder mittelbar Angehörigen eines reglementierten Berufs, die Inhaber einer bestimmten Berufsqualifikation sind, vorbehalten wird, und zwar auch dann, wenn diese Tätigkeit mit anderen reglementierten Berufen geteilt wird.</w:t>
      </w:r>
    </w:p>
    <w:p>
      <w:r>
        <w:t xml:space="preserve">3. „Berufsqualifikation“ ist eine Qualifikation, die durch einen Ausbildungsnachweis, durch einen Befähigungsnachweis im Sinne des Artikels 11 Buchstabe a Ziffer i der Richtlinie 2005/36/EG oder durch Berufserfahrung nachgewiesen wird.</w:t>
      </w:r>
    </w:p>
    <w:p>
      <w:r>
        <w:t xml:space="preserve">4. „Reglementierter Beruf“ ist eine berufliche Tätigkeit oder eine Gruppe beruflicher Tätigkeiten, bei der die Aufnahme, die Ausübung oder eine der Arten der Ausübung durch Rechts- oder Verwaltungsvorschriften direkt oder indirekt an den Besitz bestimmter Berufsqualifikationen gebunden ist; eine Art der Ausübung ist insbesondere die Führung einer geschützten Berufsbezeichnung, die durch Rechts- oder Verwaltungsvorschriften auf Personen beschränkt ist, die eine bestimmte Berufsqualifikation besitzen.</w:t>
      </w:r>
    </w:p>
    <w:p>
      <w:r>
        <w:t xml:space="preserve">(2) Eine Vorschrift im Sinne des Absatzes 1 Satz 2 ist anhand der in der Anlage 3 festgelegten Kriterien zu überprüfen.</w:t>
      </w:r>
    </w:p>
    <w:p>
      <w:r>
        <w:t xml:space="preserve">(3) Vor der Beschlussfassung der Vertreterversammlung über die Vorschrift ist auf der Internetseite der Architektenkammer Sachsen ein Entwurf für einen Zeitraum von mindestens zwei Wochen mit der Gelegenheit zur Stellungnahme zu veröffentlichen. Das Nähere bestimmt die Hauptsatzung, in welcher insbesondere sicherzustellen ist, dass die eingegangenen Stellungnahmen in den Entscheidungsprozess der Vertreterversammlung einfließen. Nach dem Erlass der Vorschrift ist ihre Übereinstimmung mit dem Verhältnismäßigkeitsgrundsatz zu überwachen und bei einer Änderung der Umstände zu prüfen, ob die Vorschrift anzupassen ist.</w:t>
      </w:r>
    </w:p>
    <w:p>
      <w:r>
        <w:t xml:space="preserve">(4) Vorschriften nach Absatz 1 Satz 2 bedürfen vor ihrer Bekanntmachung der Genehmigung der Aufsichtsbehörde. Hierbei hat diese auch zu prüfen, ob die Vorgaben der Richtlinie (EU) 2018/958 eingehalten wurden. Zu diesem Zweck hat ihr die Architektenkammer Sachsen die Unterlagen zuzuleiten, aus denen sich die Einhaltung der Vorgaben ergibt. Insbesondere sind die Gründe zu übermitteln, auf Grund derer die Vertreterversammlung die Vorschrift oder deren Änderung als gerechtfertigt, notwendig und verhältnismäßig beurteilt hat.</w:t>
      </w:r>
    </w:p>
    <w:p>
      <w:r>
        <w:rPr>
          <w:color w:val="555555"/>
          <w:sz w:val="17"/>
        </w:rPr>
        <w:t xml:space="preserve">Zitiervorschlag: § 22a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