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SächsASAVO (Sachsen) — Zuständigkeiten bei der Überwachung der Umweltradioaktivität</w:t>
      </w:r>
    </w:p>
    <w:p>
      <w:r>
        <w:rPr>
          <w:color w:val="555555"/>
          <w:sz w:val="18"/>
        </w:rPr>
        <w:t xml:space="preserve">Sächsische Atom- und Strahlenschutzausführungsverordnung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Staatliche Betriebsgesellschaft für Umwelt und Landwirtschaft ist zuständig</w:t>
      </w:r>
    </w:p>
    <w:p>
      <w:r>
        <w:t xml:space="preserve">1. für die Entgegennahme von Daten, Dokumenten und Unterrichtungen nach § 161 Absatz 1 Nummer 7 des Strahlenschutzgesetzes ,</w:t>
      </w:r>
    </w:p>
    <w:p>
      <w:r>
        <w:t xml:space="preserve">2. für weitergehende Ermittlungen der Radioaktivität im Sinne von § 161 Absatz 3 des Strahlenschutzgesetzes ,</w:t>
      </w:r>
    </w:p>
    <w:p>
      <w:r>
        <w:t xml:space="preserve">3. für die Ermittlung der Radioaktivität nach § 162 Absatz 1 des Strahlenschutzgesetzes mit Ausnahme der Probenentnahme,</w:t>
      </w:r>
    </w:p>
    <w:p>
      <w:r>
        <w:t xml:space="preserve">4. für die Übermittlung von Daten im Sinne von § 162 Absatz 2 des Strahlenschutzgesetzes und</w:t>
      </w:r>
    </w:p>
    <w:p>
      <w:r>
        <w:t xml:space="preserve">5. dafür, unmittelbaren Zugriff auf die Daten des vom Bundesamt für Strahlenschutz betriebenen integrierten Mess- und Informationssystems für die Überwachung der Umweltradioaktivität nach § 163 Absatz 2 des Strahlenschutzgesetzes zu nehmen.</w:t>
      </w:r>
    </w:p>
    <w:p>
      <w:r>
        <w:t xml:space="preserve">(2) Zur Ermittlung der Radioaktivität im Sinne von § 162 Absatz 1 des Strahlenschutzgesetzes obliegt die Probenentnahme</w:t>
      </w:r>
    </w:p>
    <w:p>
      <w:r>
        <w:t xml:space="preserve">1. der Landesuntersuchungsanstalt für das Gesundheits- und Veterinärwesen bei Futtermitteln, soweit nicht die Zuständigkeit in Nummer 2 abweichend geregelt ist,</w:t>
      </w:r>
    </w:p>
    <w:p>
      <w:r>
        <w:t xml:space="preserve">2. dem Landesamt für Umwelt, Landwirtschaft und Geologie bei unverarbeiteten Lebensmitteln pflanzlicher Herkunft sowie Milch beim Erzeuger, bei wirtschaftseigenen Futtermitteln, Pflanzen und beim Boden,</w:t>
      </w:r>
    </w:p>
    <w:p>
      <w:r>
        <w:t xml:space="preserve">3. der Landesdirektion Sachsen bei Arzneimitteln und deren Ausgangsstoffen, bei Abwässern von Direkteinleitern, Klärschlamm sowie bei Deponiesickerwasser und Grundwässern in unmittelbarer Umgebung von Deponien und</w:t>
      </w:r>
    </w:p>
    <w:p>
      <w:r>
        <w:t xml:space="preserve">4. der Staatlichen Betriebsgesellschaft für Umwelt und Landwirtschaft bei Lebensmitteln in Form von Gesamtnahrung, bei Grundwasser und oberirdischen Gewässern außer Bundeswasserstraßen sowie in allen vorstehend nicht aufgeführten Fällen.</w:t>
      </w:r>
    </w:p>
    <w:p>
      <w:r>
        <w:t xml:space="preserve">In den Fällen von Satz 1 Nummer 1 bis 3 ist auch die Staatliche Betriebsgesellschaft für Umwelt und Landwirtschaft zur Probenentnahme befugt.</w:t>
      </w:r>
    </w:p>
    <w:p>
      <w:r>
        <w:rPr>
          <w:color w:val="555555"/>
          <w:sz w:val="17"/>
        </w:rPr>
        <w:t xml:space="preserve">Zitiervorschlag: § 8 SächsASAVO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https://recht.nulegal.eu/gesetze/S%C3%A4chsASAVO/8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