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SächsASAVO (Sachsen) — Zuständigkeit der Staatlichen Betriebsgesellschaft für Umwelt und Landwirtschaft</w:t>
      </w:r>
    </w:p>
    <w:p>
      <w:r>
        <w:rPr>
          <w:color w:val="555555"/>
          <w:sz w:val="18"/>
        </w:rPr>
        <w:t xml:space="preserve">Sächsische Atom- und Strahlenschutzausführungsverordnung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Abweichend von § 2 Absatz 1 Satz 2 des Sächsischen Atom- und Strahlenschutzausführungsgesetzes ist die Staatliche Betriebsgesellschaft für Umwelt und Landwirtschaft zuständig für die Beratung Dritter im Sinne von § 125 des Strahlenschutzgesetzes .</w:t>
      </w:r>
    </w:p>
    <w:p>
      <w:r>
        <w:rPr>
          <w:color w:val="555555"/>
          <w:sz w:val="17"/>
        </w:rPr>
        <w:t xml:space="preserve">Zitiervorschlag: § 7 SächsASAVO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https://recht.nulegal.eu/gesetze/S%C3%A4chsASAVO/7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