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SächsASAVO (Sachsen) — Zuständigkeit des Landesamtes für Umwelt, Landwirtschaft und Geologie</w:t>
      </w:r>
    </w:p>
    <w:p>
      <w:r>
        <w:rPr>
          <w:color w:val="555555"/>
          <w:sz w:val="18"/>
        </w:rPr>
        <w:t xml:space="preserve">Sächsische Atom- und Strahlenschutzausführungsverordnung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§ 2 Absatz 1 Satz 1 des Sächsischen Atom- und Strahlenschutzausführungsgesetzes ist das Landesamt für Umwelt, Landwirtschaft und Geologie zuständig</w:t>
      </w:r>
    </w:p>
    <w:p>
      <w:r>
        <w:t xml:space="preserve">1. für die staatliche Aufsicht nach § 19 des Atomgesetzes in Fällen der Beförderung von Kernbrennstoffen nach § 4 des Atomgesetzes und</w:t>
      </w:r>
    </w:p>
    <w:p>
      <w:r>
        <w:t xml:space="preserve">2. für die Überprüfung der Zuverlässigkeit von Personen zum Schutz gegen die Entwendung oder Freisetzung radioaktiver Stoffe nach § 12b des Atomgesetzes .</w:t>
      </w:r>
    </w:p>
    <w:p>
      <w:r>
        <w:rPr>
          <w:color w:val="555555"/>
          <w:sz w:val="17"/>
        </w:rPr>
        <w:t xml:space="preserve">Zitiervorschlag: § 3 SächsASAVO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https://recht.nulegal.eu/gesetze/S%C3%A4chsASAVO/3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