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SächsASAVO (Sachsen) — Inkrafttreten, Außerkrafttreten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treten folgende Vorschriften außer Kraft:</w:t>
      </w:r>
    </w:p>
    <w:p>
      <w:r>
        <w:t xml:space="preserve">1. die Strahlenschutzvorsorgezuständigkeitsverordnung vom 16. April 2004 (SächsGVBl. S. 173), die zuletzt durch Artikel 4 der Verordnung vom 16. Februar 2011 (SächsGVBl. S. 61) geändert worden ist,</w:t>
      </w:r>
    </w:p>
    <w:p>
      <w:r>
        <w:t xml:space="preserve">2. die Zuständigkeitsverordnung Atom- und Strahlenschutzrecht vom 17. Juni 2003 (SächsGVBl. S. 173), die zuletzt durch die Verordnung vom 25. Februar 2010 (SächsGVBl. S. 104) geändert worden ist,</w:t>
      </w:r>
    </w:p>
    <w:p>
      <w:r>
        <w:t xml:space="preserve">3. Großbuchstabe A Ziffer III der Anlage zu § 1 Absatz 1 Satz 2 der Sächsischen Arbeitsschutzzuständigkeitsverordnung vom 6. Juli 2008 (SächsGVBl. S. 416), die zuletzt durch Artikel 15 der Verordnung vom 2. März 2012 (SächsGVBl. S. 163) geändert worden ist, sowie</w:t>
      </w:r>
    </w:p>
    <w:p>
      <w:r>
        <w:t xml:space="preserve">4. die Verordnung des Sächsischen Staatsministeriums für Wirtschaft und Arbeit über die Bestimmung der ärztlichen und der zahnärztlichen Stelle nach der Röntgenverordnung vom 18. November 2003 (SächsGVBl. S. 904).</w:t>
      </w:r>
    </w:p>
    <w:p>
      <w:r>
        <w:t xml:space="preserve">(3) Nach dem 29. September 2019 im Anwendungsbereich dieser Verordnung getroffene Behördenentscheidungen gelten als von der sachlich zuständigen Behörde getroffen, wenn nach dieser Verordnung eine Zuständigkeit bestanden hätte.</w:t>
      </w:r>
    </w:p>
    <w:p>
      <w:r>
        <w:t xml:space="preserve">Dresden, den 8. Oktober 2019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für Wirtschaft, Arbeit und Verkehr</w:t>
      </w:r>
    </w:p>
    <w:p>
      <w:r>
        <w:t xml:space="preserve">Martin Dulig</w:t>
      </w:r>
    </w:p>
    <w:p>
      <w:r>
        <w:t xml:space="preserve">Der Staatsminister für Kultus</w:t>
      </w:r>
    </w:p>
    <w:p>
      <w:r>
        <w:t xml:space="preserve">Christian Piwarz</w:t>
      </w:r>
    </w:p>
    <w:p>
      <w:r>
        <w:t xml:space="preserve">Die Staatsministerin für Soziales und Verbraucherschutz</w:t>
      </w:r>
    </w:p>
    <w:p>
      <w:r>
        <w:t xml:space="preserve">Barbara Klepsch</w:t>
      </w:r>
    </w:p>
    <w:p>
      <w:r>
        <w:t xml:space="preserve">Der Staatsminister für Umwelt und Landwirtschaft</w:t>
      </w:r>
    </w:p>
    <w:p>
      <w:r>
        <w:t xml:space="preserve">Thomas Schmidt</w:t>
      </w:r>
    </w:p>
    <w:p>
      <w:r>
        <w:rPr>
          <w:color w:val="555555"/>
          <w:sz w:val="17"/>
        </w:rPr>
        <w:t xml:space="preserve">Zitiervorschlag: § 18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