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SächsASAVO (Sachsen) — Besondere Notfallpläne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besonderen Notfallpläne nach § 100 des Strahlenschutzgesetzes und die externen Notfallpläne nach § 101 des Strahlenschutzgesetzes werden durch die Staatsministerien für ihren jeweiligen Geschäftsbereich erstellt und im Einvernehmen mit dem Staatsministerium für Energie, Klimaschutz, Umwelt und Landwirtschaft beschlossen.</w:t>
      </w:r>
    </w:p>
    <w:p>
      <w:r>
        <w:t xml:space="preserve">(2) Die Notfallpläne nach Absatz 1 können zur Anlage des allgemeinen Notfallplans nach § 12 gemacht werden.</w:t>
      </w:r>
    </w:p>
    <w:p>
      <w:r>
        <w:rPr>
          <w:color w:val="555555"/>
          <w:sz w:val="17"/>
        </w:rPr>
        <w:t xml:space="preserve">Zitiervorschlag: § 13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