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SächsASAVO (Sachsen) — Anwendungsbereich</w:t>
      </w:r>
    </w:p>
    <w:p>
      <w:r>
        <w:rPr>
          <w:color w:val="555555"/>
          <w:sz w:val="18"/>
        </w:rPr>
        <w:t xml:space="preserve">Sächsische Atom- und Strahlenschutzausführungsverordnung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 Verordnung regelt Aufgaben und Zuständigkeiten im Bereich des Atom-, Strahlenschutz- und radiologischen Notfallschutzrechtes im Sinne von § 1 Absatz 1 des Sächsischen Atom- und Strahlenschutzausführungsgesetzes vom 2. August 2019 (SächsGVBl. S. 647) und bestimmt Näheres zur Koordinierung der Staatsministerien bei der Ausführung des radiologischen Notfallschutzes. Sie findet keine Anwendung auf die Umsetzung des Standortauswahlgesetzes vom 5. Mai 2017 (BGBl. I S. 1074), das zuletzt durch Artikel 2 Absatz 16 des Gesetzes vom 20. Juli 2017 (BGBl. I S. 2808) geändert worden ist, in der jeweils geltenden Fassung.</w:t>
      </w:r>
    </w:p>
    <w:p>
      <w:r>
        <w:rPr>
          <w:color w:val="555555"/>
          <w:sz w:val="17"/>
        </w:rPr>
        <w:t xml:space="preserve">Zitiervorschlag: § 1 SächsASAVO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https://recht.nulegal.eu/gesetze/S%C3%A4chsASAVO/1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