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SächsAPOStF (Sachsen) — Vorgesetzte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Vorgesetzte der Anwärterinnen und Anwärter im Sinne § 2 Absatz 3 des Sächsischen Beamtengesetzes sind</w:t>
      </w:r>
    </w:p>
    <w:p>
      <w:r>
        <w:t xml:space="preserve">1. während der Fachstudien die Rektorin oder der Rektor und die Leiterin oder der Leiter des Fachbereiches Steuer- und Staatsfinanzverwaltung der Hochschule Meißen (FH) und Fortbildungszentrum sowie für ihre Lehrveranstaltungen die Lehrkräfte,</w:t>
      </w:r>
    </w:p>
    <w:p>
      <w:r>
        <w:t xml:space="preserve">2. während der berufspraktischen Studienzeiten die Leitung der Ausbildungsbehörde, die oder der Ausbildungsverantwortliche, die Ausbilder im Rahmen ihrer Ausbildungstätigkeit und für die dienstbegleitenden Lehrveranstaltungen die damit beauftragten Lehrkräfte.</w:t>
      </w:r>
    </w:p>
    <w:p>
      <w:r>
        <w:rPr>
          <w:color w:val="555555"/>
          <w:sz w:val="17"/>
        </w:rPr>
        <w:t xml:space="preserve">Zitiervorschlag: § 9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