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SächsAPOStF (Sachsen) — Ergebnis der Laufbahnprüfung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Ende der mündlichen Prüfung setzt der Prüfungsausschuss die Endnotenpunktzahl fest und ermittelt das Ergebnis der Laufbahnprüfung.</w:t>
      </w:r>
    </w:p>
    <w:p>
      <w:r>
        <w:t xml:space="preserve">(2) Die Endnotenpunktzahl der Laufbahnprüfung ist die Summe aus</w:t>
      </w:r>
    </w:p>
    <w:p>
      <w:r>
        <w:t xml:space="preserve">1. dem fünffachen der Notenpunktzahl der Beurteilung in den berufspraktischen Studienzeiten,</w:t>
      </w:r>
    </w:p>
    <w:p>
      <w:r>
        <w:t xml:space="preserve">2. dem siebenfachen der Studiennote für das Grundstudium,</w:t>
      </w:r>
    </w:p>
    <w:p>
      <w:r>
        <w:t xml:space="preserve">3. dem achtfachen der Studiennote für das Hauptstudium,</w:t>
      </w:r>
    </w:p>
    <w:p>
      <w:r>
        <w:t xml:space="preserve">4. dem 14-fachen der Durchschnittsnotenpunktzahl der Prüfungsarbeiten des schriftlichen Teils der Laufbahnprüfung und</w:t>
      </w:r>
    </w:p>
    <w:p>
      <w:r>
        <w:t xml:space="preserve">5. dem sechsfachen der Durchschnittsnotenpunktzahl des mündlichen Teils der Laufbahnprüfung.</w:t>
      </w:r>
    </w:p>
    <w:p>
      <w:r>
        <w:t xml:space="preserve">(3) Die Prüfung ist bestanden, wenn die Anwärterin oder der Anwärter</w:t>
      </w:r>
    </w:p>
    <w:p>
      <w:r>
        <w:t xml:space="preserve">1. den mündlichen Teil der Laufbahnprüfung bestanden hat und</w:t>
      </w:r>
    </w:p>
    <w:p>
      <w:r>
        <w:t xml:space="preserve">2. eine Endnotenpunktzahl von mindestens 200 erreicht hat.</w:t>
      </w:r>
    </w:p>
    <w:p>
      <w:r>
        <w:t xml:space="preserve">(4) Bei bestandener Laufbahnprüfung setzt der Prüfungsausschuss anhand der Endnotenpunktzahl die Prüfungsgesamtnote der Laufbahnprüfung fest.</w:t>
      </w:r>
    </w:p>
    <w:p>
      <w:r>
        <w:rPr>
          <w:color w:val="555555"/>
          <w:sz w:val="17"/>
        </w:rPr>
        <w:t xml:space="preserve">Zitiervorschlag: § 45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