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SächsAPOStF (Sachsen) — Zugang zur Laufbahnausbildung</w:t>
      </w:r>
    </w:p>
    <w:p>
      <w:r>
        <w:rPr>
          <w:color w:val="555555"/>
          <w:sz w:val="18"/>
        </w:rPr>
        <w:t xml:space="preserve">Sächsische Ausbildungs- und Prüfungsordnung Staatsfinanzverwaltungsdienst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Laufbahnausbildung ist zugelassen, wer</w:t>
      </w:r>
    </w:p>
    <w:p>
      <w:r>
        <w:t xml:space="preserve">1. ein Auswahlverfahren nach § 5 erfolgreich durchlaufen hat,</w:t>
      </w:r>
    </w:p>
    <w:p>
      <w:r>
        <w:t xml:space="preserve">2. die Bildungsvoraussetzungen nach § 16 Absatz 2 Nummer 1 des Sächsischen Beamtengesetzes erfüllt und</w:t>
      </w:r>
    </w:p>
    <w:p>
      <w:r>
        <w:t xml:space="preserve">3. die persönlichen Voraussetzungen für die Berufung ins Beamtenverhältnis erfüllt.</w:t>
      </w:r>
    </w:p>
    <w:p>
      <w:r>
        <w:rPr>
          <w:color w:val="555555"/>
          <w:sz w:val="17"/>
        </w:rPr>
        <w:t xml:space="preserve">Zitiervorschlag: § 4 SächsAPOStF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https://recht.nulegal.eu/gesetze/S%C3%A4chsAPOStF/4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