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SächsAPOStF (Sachsen) — Schriftliche Prüfungsarbeiten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Zwischenprüfung sind anzufertigen</w:t>
      </w:r>
    </w:p>
    <w:p>
      <w:r>
        <w:t xml:space="preserve">1. aus der Fachgruppe Rechtswissenschaften I zwei schriftliche Prüfungsarbeiten,</w:t>
      </w:r>
    </w:p>
    <w:p>
      <w:r>
        <w:t xml:space="preserve">2. aus der Fachgruppe Rechtswissenschaften II zwei schriftliche Prüfungsarbeiten,</w:t>
      </w:r>
    </w:p>
    <w:p>
      <w:r>
        <w:t xml:space="preserve">3. aus der Fachgruppe Wirtschaftswissenschaften eine schriftliche Prüfungsarbeit.</w:t>
      </w:r>
    </w:p>
    <w:p>
      <w:r>
        <w:t xml:space="preserve">(2) Jedes Prüfungsfach kann mit Aufgaben aus übergreifenden oder angrenzenden Fächern verbunden werden.</w:t>
      </w:r>
    </w:p>
    <w:p>
      <w:r>
        <w:t xml:space="preserve">(3) Die Bearbeitungszeit beträgt jeweils 180 Minuten.</w:t>
      </w:r>
    </w:p>
    <w:p>
      <w:r>
        <w:rPr>
          <w:color w:val="555555"/>
          <w:sz w:val="17"/>
        </w:rPr>
        <w:t xml:space="preserve">Zitiervorschlag: § 38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