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SächsAPOStF (Sachsen) — Ziel</w:t>
      </w:r>
    </w:p>
    <w:p>
      <w:r>
        <w:rPr>
          <w:color w:val="555555"/>
          <w:sz w:val="18"/>
        </w:rPr>
        <w:t xml:space="preserve">Sächsische Ausbildungs- und Prüfungsordnung Staatsfinanzverwaltungsdienst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der Zwischenprüfung soll die Anwärterin oder der Anwärter zeigen, ob sie oder er den Kenntnissen und Fähigkeiten nach geeignet erscheint, den Studiengang erfolgreich fortzusetzen. Die Zwischenprüfung erfolgt als schriftliche Prüfung.</w:t>
      </w:r>
    </w:p>
    <w:p>
      <w:r>
        <w:rPr>
          <w:color w:val="555555"/>
          <w:sz w:val="17"/>
        </w:rPr>
        <w:t xml:space="preserve">Zitiervorschlag: § 37 SächsAPOStF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https://recht.nulegal.eu/gesetze/S%C3%A4chsAPOStF/37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