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SächsAPOStF (Sachsen) — Geheimhaltung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Prüfungsaufgaben sind nach Prüfungsfächern getrennt bis zum Prüfungsbeginn geheim zu halten.</w:t>
      </w:r>
    </w:p>
    <w:p>
      <w:r>
        <w:t xml:space="preserve">(2) Alle Verwaltungsangehörigen, die vom Inhalt der Entwürfe und von etwaigen Lösungshinweisen Kenntnis erhalten, sind zur Geheimhaltung verpflichtet.</w:t>
      </w:r>
    </w:p>
    <w:p>
      <w:r>
        <w:rPr>
          <w:color w:val="555555"/>
          <w:sz w:val="17"/>
        </w:rPr>
        <w:t xml:space="preserve">Zitiervorschlag: § 26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https://recht.nulegal.eu/gesetze/S%C3%A4chsAPOStF/26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