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SächsAPOStF (Sachsen) — Zwischenprüfung und Laufbahnprüfung</w:t>
      </w:r>
    </w:p>
    <w:p>
      <w:r>
        <w:rPr>
          <w:color w:val="555555"/>
          <w:sz w:val="18"/>
        </w:rPr>
        <w:t xml:space="preserve">Sächsische Ausbildungs- und Prüfungsordnung Staatsfinanzverwaltungsdienst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Nach mindestens vier und höchstens sechs Monaten Fachstudien ist eine Zwischenprüfung abzulegen.</w:t>
      </w:r>
    </w:p>
    <w:p>
      <w:r>
        <w:t xml:space="preserve">(2) Nach dem Hauptstudium ist der schriftliche und, nachdem die oder der Vorsitzende des Prüfungsausschusses die Zulassung erteilt hat, der mündliche Teil der Laufbahnprüfung abzulegen.</w:t>
      </w:r>
    </w:p>
    <w:p>
      <w:r>
        <w:rPr>
          <w:color w:val="555555"/>
          <w:sz w:val="17"/>
        </w:rPr>
        <w:t xml:space="preserve">Zitiervorschlag: § 20 SächsAPOStF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https://recht.nulegal.eu/gesetze/S%C3%A4chsAPOStF/20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