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SächsAPOStF (Sachsen) — Berufspraktische Studienzeiten</w:t>
      </w:r>
    </w:p>
    <w:p>
      <w:r>
        <w:rPr>
          <w:color w:val="555555"/>
          <w:sz w:val="18"/>
        </w:rPr>
        <w:t xml:space="preserve">Sächsische Ausbildungs- und Prüfungsordnung Staatsfinanzverwaltungsdienst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berufspraktischen Studienzeiten umfassen die praktische Ausbildung und die Teilnahme an dienstbegleitenden Lehrveranstaltungen.</w:t>
      </w:r>
    </w:p>
    <w:p>
      <w:r>
        <w:rPr>
          <w:color w:val="555555"/>
          <w:sz w:val="17"/>
        </w:rPr>
        <w:t xml:space="preserve">Zitiervorschlag: § 15 SächsAPOStF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https://recht.nulegal.eu/gesetze/S%C3%A4chsAPOStF/15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