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SächsAPOPol (Sachsen) — Akteneinsicht und Aufbewahrungsfristen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Prüflinge erhalten auf Antrag Einsicht in ihre Prüfungsakte. Lösungsschemata sind nur dann vom Einsichtsrecht umfasst, wenn sie individuelle Bewertungen der Leistung der Prüflinge enthalten. Die Einsicht kann in digitaler Form gewährt werden.</w:t>
      </w:r>
    </w:p>
    <w:p>
      <w:r>
        <w:t xml:space="preserve">(2) Die schriftlichen Prüfungsleistungen sowie die Prüfungsprotokolle werden nach Ablauf von fünf Jahren vernichtet. Die Aufbewahrungsfrist für die Mehrfertigungen der Zeugnisse, Urkunden und Bescheinigungen beträgt 50 Jahre.</w:t>
      </w:r>
    </w:p>
    <w:p>
      <w:r>
        <w:rPr>
          <w:color w:val="555555"/>
          <w:sz w:val="17"/>
        </w:rPr>
        <w:t xml:space="preserve">Zitiervorschlag: § 36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