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SächsAPOBauMSt (Sachsen) — Prüfungsakten, Niederschriften</w:t>
      </w:r>
    </w:p>
    <w:p>
      <w:r>
        <w:rPr>
          <w:color w:val="555555"/>
          <w:sz w:val="18"/>
        </w:rPr>
        <w:t xml:space="preserve">Sächsische Ausbildungs- und Prüfungsordnung Bau, Maschinenwesen und Elektrotechnik sowie Straßenwesen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den Prüfungsverlauf ist für jeden Prüfling eine Niederschrift zu fertigen, in der Folgendes festzuhalten ist:</w:t>
      </w:r>
    </w:p>
    <w:p>
      <w:r>
        <w:t xml:space="preserve">1. Zeit und Ort der schriftlichen und der mündlichen Prüfung,</w:t>
      </w:r>
    </w:p>
    <w:p>
      <w:r>
        <w:t xml:space="preserve">2. die Namen und Funktionen aller anwesenden Personen bei der mündlichen Prüfung,</w:t>
      </w:r>
    </w:p>
    <w:p>
      <w:r>
        <w:t xml:space="preserve">3. die Bewertung der schriftlichen und der mündlichen Prüfung einschließlich des Prüfungsstoffes,</w:t>
      </w:r>
    </w:p>
    <w:p>
      <w:r>
        <w:t xml:space="preserve">4. die erreichte Gesamtpunktzahl und die Gesamtnote sowie</w:t>
      </w:r>
    </w:p>
    <w:p>
      <w:r>
        <w:t xml:space="preserve">5. besondere Vorkommnisse.</w:t>
      </w:r>
    </w:p>
    <w:p>
      <w:r>
        <w:t xml:space="preserve">Die Niederschrift ist von den Mitgliedern des Prüfungsausschusses zu unterzeichnen.</w:t>
      </w:r>
    </w:p>
    <w:p>
      <w:r>
        <w:t xml:space="preserve">(2) Die Prüfungsakte wird bei der Prüfungsbehörde angelegt und geführt. Jeder Prüfling kann innerhalb eines Jahres nach Abschluss der Laufbahnprüfung seine Prüfungsakte einsehen.</w:t>
      </w:r>
    </w:p>
    <w:p>
      <w:r>
        <w:rPr>
          <w:color w:val="555555"/>
          <w:sz w:val="17"/>
        </w:rPr>
        <w:t xml:space="preserve">Zitiervorschlag: § 23 SächsAPOBauMSt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https://recht.nulegal.eu/gesetze/S%C3%A4chsAPOBauMSt/23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