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SächsAPOBauMSt (Sachsen) — Ziel der Laufbahnprüfung</w:t>
      </w:r>
    </w:p>
    <w:p>
      <w:r>
        <w:rPr>
          <w:color w:val="555555"/>
          <w:sz w:val="18"/>
        </w:rPr>
        <w:t xml:space="preserve">Sächsische Ausbildungs- und Prüfungsordnung Bau, Maschinenwesen und Elektrotechnik sowie Straßenwesen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Laufbahnprüfung dient der Feststellung, ob die Prüflinge nach ihren fachlichen und allgemeinen Kenntnissen, Fähigkeiten und Leistungen sowie nach ihrer Persönlichkeit die Eignung für die erste Einstiegsebene der Laufbahngruppe 2 des technischen Verwaltungsdienstes besitzen.</w:t>
      </w:r>
    </w:p>
    <w:p>
      <w:r>
        <w:rPr>
          <w:color w:val="555555"/>
          <w:sz w:val="17"/>
        </w:rPr>
        <w:t xml:space="preserve">Zitiervorschlag: § 12 SächsAPOBauMSt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https://recht.nulegal.eu/gesetze/S%C3%A4chsAPOBauMSt/12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SächsAPOBauMSt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