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SächsAPOArchiv (Sachsen) — Folgen der bestandenen Staatsprüfung</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Prüfung bestanden hat, erhält darüber ein Zeugnis mit der erreichten Gesamtnote. Das Zeugnis ist vom Vorsitzenden des Prüfungsausschusses zu unterzeichnen. Eine Zweitausfertigung ist zur Personalakte des Anwärters zu nehmen.</w:t>
      </w:r>
    </w:p>
    <w:p>
      <w:r>
        <w:t xml:space="preserve">(2) Nach bestandener Laufbahnprüfung verleiht die Archivschule Marburg – Hochschule für Archivwissenschaft – den Grad „Diplom-Archivarin (FH)“ oder „Diplom-Archivar (FH)“.</w:t>
      </w:r>
    </w:p>
    <w:p>
      <w:r>
        <w:rPr>
          <w:color w:val="555555"/>
          <w:sz w:val="17"/>
        </w:rPr>
        <w:t xml:space="preserve">Zitiervorschlag: § 24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