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SächsAPOArchiv (Sachsen) — Ziel und Inhalt der Staatsprüfung</w:t>
      </w:r>
    </w:p>
    <w:p>
      <w:r>
        <w:rPr>
          <w:color w:val="555555"/>
          <w:sz w:val="18"/>
        </w:rPr>
        <w:t xml:space="preserve">Sächsische Ausbildungs- und Prüfungsordnung Archivdienst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Anwärter haben die Befähigung für die Laufbahn der ersten Einstiegsebene der Laufbahngruppe 2 der Fachrichtung Allgemeine Verwaltung mit dem fachlichen Schwerpunkt Archivdienst durch eine Staatsprüfung nachzuweisen.</w:t>
      </w:r>
    </w:p>
    <w:p>
      <w:r>
        <w:t xml:space="preserve">(2) Die Staatsprüfung besteht aus den Zwischenprüfungen, dem Ergebnis der berufspraktischen Ausbildung, der archivarischen Probearbeit und der schriftlichen sowie der zeitlich darauf folgenden mündlichen Abschlussprüfung.</w:t>
      </w:r>
    </w:p>
    <w:p>
      <w:r>
        <w:rPr>
          <w:color w:val="555555"/>
          <w:sz w:val="17"/>
        </w:rPr>
        <w:t xml:space="preserve">Zitiervorschlag: § 14 SächsAPOArchiv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https://recht.nulegal.eu/gesetze/S%C3%A4chsAPOArchiv/14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SächsAPOArchiv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