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SächsAPOAgrFor (Sachsen) — Ermittlung des Gesamtergebnisses der Laufbahnprüfungen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erste Einstiegsebene entspricht das Gesamtergebnis der Gesamtnote des fachlichen Prüfungsabschnitts nach § 46.</w:t>
      </w:r>
    </w:p>
    <w:p>
      <w:r>
        <w:t xml:space="preserve">(2) Für die zweite Einstiegsebene zählt für die Ermittlung des Gesamtergebnisses</w:t>
      </w:r>
    </w:p>
    <w:p>
      <w:r>
        <w:t xml:space="preserve">1. die Gesamtnote des fachlichen Prüfungsabschnittes nach § 46 fünffach und</w:t>
      </w:r>
    </w:p>
    <w:p>
      <w:r>
        <w:t xml:space="preserve">2. die Gesamtnote des pädagogischen Prüfungsabschnitts nach § 47 dreifach.</w:t>
      </w:r>
    </w:p>
    <w:p>
      <w:r>
        <w:t xml:space="preserve">Die Summe hieraus geteilt durch 8 ergibt das Gesamtergebnis, das auf 2 Dezimalstellen nach dem Komma gerundet wird.</w:t>
      </w:r>
    </w:p>
    <w:p>
      <w:r>
        <w:rPr>
          <w:color w:val="555555"/>
          <w:sz w:val="17"/>
        </w:rPr>
        <w:t xml:space="preserve">Zitiervorschlag: § 48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https://recht.nulegal.eu/gesetze/S%C3%A4chsAPOAgrFor/48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