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SächsAPOAgrFor (Sachsen) — Ermittlung der Gesamtnote des pädagogischen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Ermittlung der Gesamtnote zählt die Endnote</w:t>
      </w:r>
    </w:p>
    <w:p>
      <w:r>
        <w:t xml:space="preserve">1. aus dem arithmetischen Mittel der Bewertung des schulpraktischen Ausbildungsabschnitts nach § 25 Absatz 4 Nummer 3 einfach,</w:t>
      </w:r>
    </w:p>
    <w:p>
      <w:r>
        <w:t xml:space="preserve">2. des schriftlichen Prüfungsteils nach § 44 zweifach und</w:t>
      </w:r>
    </w:p>
    <w:p>
      <w:r>
        <w:t xml:space="preserve">3. des praktischen Prüfungsteils nach § 45 fünffach.</w:t>
      </w:r>
    </w:p>
    <w:p>
      <w:r>
        <w:t xml:space="preserve">Die Summe hieraus geteilt durch 8 ergibt die Gesamtnote des pädagogischen Prüfungsabschnitts. Diese wird auf 2 Dezimalstellen nach dem Komma gerundet.</w:t>
      </w:r>
    </w:p>
    <w:p>
      <w:r>
        <w:rPr>
          <w:color w:val="555555"/>
          <w:sz w:val="17"/>
        </w:rPr>
        <w:t xml:space="preserve">Zitiervorschlag: § 47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