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SächsAPOAgrFor (Sachsen) — Ermittlung der Endnote im praktischen Prüfungsteil des pädagogischen Prüfungsabschnitts</w:t>
      </w:r>
    </w:p>
    <w:p>
      <w:r>
        <w:rPr>
          <w:color w:val="555555"/>
          <w:sz w:val="18"/>
        </w:rPr>
        <w:t xml:space="preserve">Sächsische Ausbildungs- und Prüfungsordnung Agrar- und Forstverwaltung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Zur Ermittlung der Endnote werden die Punkte der ersten Lehrprobe nach § 39 Absatz 1 Nummer 2 zweifach und die Punkte der zweiten Lehrprobe nach § 39 Absatz 1 Nummer 2 dreifach gezählt. Die Summe hieraus wird durch 5 geteilt und auf eine Dezimalstelle nach dem Komma gerundet.</w:t>
      </w:r>
    </w:p>
    <w:p>
      <w:r>
        <w:t xml:space="preserve">(2) Werden in der zweiten Lehrprobe nicht mindestens 5 Punkte erreicht, ist der praktische Prüfungsteil nicht bestanden.</w:t>
      </w:r>
    </w:p>
    <w:p>
      <w:r>
        <w:rPr>
          <w:color w:val="555555"/>
          <w:sz w:val="17"/>
        </w:rPr>
        <w:t xml:space="preserve">Zitiervorschlag: § 45 SächsAPOAgrFor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https://recht.nulegal.eu/gesetze/S%C3%A4chsAPOAgrFor/45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