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SächsAPOAgrFor (Sachsen) — Rechtsstellung und Dienstbezeichnung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Anwärterinnen und Anwärter sowie Referendarinnen und Referendare werden für die Dauer der Ausbildung unter Berufung in das Beamtenverhältnis auf Widerruf eingestellt.</w:t>
      </w:r>
    </w:p>
    <w:p>
      <w:r>
        <w:t xml:space="preserve">(2) Sie führen im fachlichen Schwerpunkt</w:t>
      </w:r>
    </w:p>
    <w:p>
      <w:r>
        <w:t xml:space="preserve">1. landwirtschaftlicher Dienst</w:t>
      </w:r>
    </w:p>
    <w:p>
      <w:r>
        <w:t xml:space="preserve">a)</w:t>
      </w:r>
    </w:p>
    <w:p>
      <w:r>
        <w:t xml:space="preserve">für die erste Einstiegsebene die Dienstbezeichnung „Landwirtschaftsanwärterin“ oder „Landwirtschaftsanwärter“ und</w:t>
      </w:r>
    </w:p>
    <w:p>
      <w:r>
        <w:t xml:space="preserve">b)</w:t>
      </w:r>
    </w:p>
    <w:p>
      <w:r>
        <w:t xml:space="preserve">für die zweite Einstiegsebene die Dienstbezeichnung „Landwirtschaftsreferendarin“ oder „Landwirtschaftsreferendar“.</w:t>
      </w:r>
    </w:p>
    <w:p>
      <w:r>
        <w:t xml:space="preserve">2. Forstdienst</w:t>
      </w:r>
    </w:p>
    <w:p>
      <w:r>
        <w:t xml:space="preserve">a)</w:t>
      </w:r>
    </w:p>
    <w:p>
      <w:r>
        <w:t xml:space="preserve">für die erste Einstiegsebene die Dienstbezeichnung „Forstinspektoranwärterin“ oder „Forstinspektoranwärter“ und</w:t>
      </w:r>
    </w:p>
    <w:p>
      <w:r>
        <w:t xml:space="preserve">b)</w:t>
      </w:r>
    </w:p>
    <w:p>
      <w:r>
        <w:t xml:space="preserve">für die zweite Einstiegsebene die Dienstbezeichnung „Forstreferendarin“ oder „Forstreferendar“.</w:t>
      </w:r>
    </w:p>
    <w:p>
      <w:r>
        <w:rPr>
          <w:color w:val="555555"/>
          <w:sz w:val="17"/>
        </w:rPr>
        <w:t xml:space="preserve">Zitiervorschlag: § 4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